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3776_WPSOffice_Level2"/>
      <w:bookmarkStart w:id="1" w:name="_Toc2989_WPSOffice_Level1"/>
      <w:bookmarkStart w:id="2" w:name="_Toc27025_WPSOffice_Level1"/>
      <w:bookmarkStart w:id="3" w:name="_Toc17443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非国有不可移动文物修缮资金给付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非国有不可移动文物修缮资金给付</w:t>
      </w:r>
    </w:p>
    <w:p>
      <w:pPr>
        <w:pStyle w:val="50"/>
        <w:widowControl/>
        <w:tabs>
          <w:tab w:val="left" w:pos="452"/>
        </w:tabs>
        <w:kinsoku w:val="0"/>
        <w:wordWrap w:val="0"/>
        <w:topLinePunct/>
        <w:adjustRightInd/>
        <w:snapToGrid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行政给付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【服务对象】</w:t>
      </w:r>
    </w:p>
    <w:p>
      <w:pPr>
        <w:widowControl/>
        <w:kinsoku w:val="0"/>
        <w:wordWrap w:val="0"/>
        <w:topLinePunct/>
        <w:ind w:firstLine="480"/>
        <w:rPr>
          <w:rFonts w:hint="eastAsia" w:eastAsia="方正仿宋_GBK" w:asciiTheme="minorEastAsia" w:hAnsi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  <w:t>自然人,企业法人,事业法人,社会组织法人,非法人企业,行政机关,其他组织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十一、【行政法规】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  <w:t>《中华人民共和国文物保护法》无第二十一条第一款。第二十一条第一款非国有不可移动文物有损毁危险，所有人不具备修缮能力的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  <w:t>，当地人民政府应当给予帮助；所有人具备修缮能力而拒不依法履行修缮义务的，县级以上人民政府可以给予抢救修缮，所需费用由所有人负担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十二、【办理材料】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十三、【办理地点】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十四、【办理形式】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窗口办理、快递申请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十五、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十六、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无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十七、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乌仁其米克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十八、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座机：0996-6622103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十九、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7355" cy="6961505"/>
            <wp:effectExtent l="0" t="0" r="10795" b="10795"/>
            <wp:docPr id="18" name="_x0000_i3346" descr="行政给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_i3346" descr="行政给付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办件使用系统或平台（国家、自治区、州级、自建）</w: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二十一、新疆政务服务【注意事项】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1.申请人对报送材料的真实性和合法性承担责任。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二十二、提供的附件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1.设立法律依据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2.办理流程图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1CD86D44"/>
    <w:rsid w:val="35330A9B"/>
    <w:rsid w:val="39931AC9"/>
    <w:rsid w:val="4A5F29CE"/>
    <w:rsid w:val="54846BCD"/>
    <w:rsid w:val="630C1F9C"/>
    <w:rsid w:val="72B7766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2022-07-04T09:12:11Z</cp:lastPrinted>
  <dcterms:created xsi:type="dcterms:W3CDTF">2019-10-30T07:07:00Z</dcterms:created>
  <dcterms:modified xsi:type="dcterms:W3CDTF">2022-07-04T09:12:13Z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2022-07-04T09:12:11Z</cp:lastPrinted>
  <dcterms:modified xsi:type="dcterms:W3CDTF">2022-07-04T09:12:13Z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Props1.xml><?xml version="1.0" encoding="utf-8"?>
<ds:datastoreItem xmlns:ds="http://schemas.openxmlformats.org/officeDocument/2006/customXml" ds:itemID="{3953fede-79bf-47fa-bf47-ae1d9dbc182e}">
  <ds:schemaRefs/>
</ds:datastoreItem>
</file>

<file path=customXml/itemProps2.xml><?xml version="1.0" encoding="utf-8"?>
<ds:datastoreItem xmlns:ds="http://schemas.openxmlformats.org/officeDocument/2006/customXml" ds:itemID="{358fb8ea-52db-4399-a451-ffc285de4b9e}">
  <ds:schemaRefs/>
</ds:datastoreItem>
</file>

<file path=customXml/itemProps3.xml><?xml version="1.0" encoding="utf-8"?>
<ds:datastoreItem xmlns:ds="http://schemas.openxmlformats.org/officeDocument/2006/customXml" ds:itemID="{ad89888d-90b5-486c-9fe1-1c006b2e5756}">
  <ds:schemaRefs/>
</ds:datastoreItem>
</file>

<file path=customXml/itemProps4.xml><?xml version="1.0" encoding="utf-8"?>
<ds:datastoreItem xmlns:ds="http://schemas.openxmlformats.org/officeDocument/2006/customXml" ds:itemID="{a3b51aab-2467-4e0d-bb5e-88db8ce69ea4}">
  <ds:schemaRefs/>
</ds:datastoreItem>
</file>

<file path=customXml/itemProps5.xml><?xml version="1.0" encoding="utf-8"?>
<ds:datastoreItem xmlns:ds="http://schemas.openxmlformats.org/officeDocument/2006/customXml" ds:itemID="{912d2608-9dd6-4f3d-b6b9-4dd67cc4408b}">
  <ds:schemaRefs/>
</ds:datastoreItem>
</file>

<file path=customXml/itemProps6.xml><?xml version="1.0" encoding="utf-8"?>
<ds:datastoreItem xmlns:ds="http://schemas.openxmlformats.org/officeDocument/2006/customXml" ds:itemID="{53d09b7a-5840-45e3-a752-c31012a8e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571</Words>
  <Characters>609</Characters>
  <Lines>7</Lines>
  <Paragraphs>2</Paragraphs>
  <TotalTime>5</TotalTime>
  <ScaleCrop>false</ScaleCrop>
  <LinksUpToDate>false</LinksUpToDate>
  <CharactersWithSpaces>610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幻风姑息</cp:lastModifiedBy>
  <cp:lastPrinted>2022-07-04T09:12:00Z</cp:lastPrinted>
  <dcterms:modified xsi:type="dcterms:W3CDTF">2022-12-08T05:19:44Z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8C57D6286C054DC5BEE82FE9ABEE8242</vt:lpwstr>
  </property>
</Properties>
</file>